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98" w:rsidRDefault="0061512A" w:rsidP="00615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84198" w:rsidRDefault="00884198" w:rsidP="00615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12A" w:rsidRPr="00012573" w:rsidRDefault="00884198" w:rsidP="00615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1512A">
        <w:rPr>
          <w:rFonts w:ascii="Times New Roman" w:hAnsi="Times New Roman" w:cs="Times New Roman"/>
          <w:sz w:val="28"/>
          <w:szCs w:val="28"/>
        </w:rPr>
        <w:t xml:space="preserve">  </w:t>
      </w:r>
      <w:r w:rsidR="0061512A" w:rsidRPr="00012573">
        <w:rPr>
          <w:rFonts w:ascii="Times New Roman" w:hAnsi="Times New Roman" w:cs="Times New Roman"/>
          <w:sz w:val="28"/>
          <w:szCs w:val="28"/>
        </w:rPr>
        <w:t>ПРИНЯТО</w:t>
      </w:r>
    </w:p>
    <w:p w:rsidR="0061512A" w:rsidRPr="00012573" w:rsidRDefault="0061512A" w:rsidP="00615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7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2573">
        <w:rPr>
          <w:rFonts w:ascii="Times New Roman" w:hAnsi="Times New Roman" w:cs="Times New Roman"/>
          <w:sz w:val="28"/>
          <w:szCs w:val="28"/>
        </w:rPr>
        <w:t xml:space="preserve"> Решением Думы</w:t>
      </w:r>
    </w:p>
    <w:p w:rsidR="0061512A" w:rsidRPr="00012573" w:rsidRDefault="0061512A" w:rsidP="00615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Партизанского городского округа</w:t>
      </w:r>
    </w:p>
    <w:p w:rsidR="0061512A" w:rsidRPr="001A51F3" w:rsidRDefault="0061512A" w:rsidP="00615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7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79C">
        <w:rPr>
          <w:rFonts w:ascii="Times New Roman" w:hAnsi="Times New Roman" w:cs="Times New Roman"/>
          <w:sz w:val="28"/>
          <w:szCs w:val="28"/>
        </w:rPr>
        <w:t xml:space="preserve">  </w:t>
      </w:r>
      <w:r w:rsidR="00E70D7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611B6">
        <w:rPr>
          <w:rFonts w:ascii="Times New Roman" w:hAnsi="Times New Roman" w:cs="Times New Roman"/>
          <w:sz w:val="28"/>
          <w:szCs w:val="28"/>
        </w:rPr>
        <w:t xml:space="preserve">    </w:t>
      </w:r>
      <w:r w:rsidRPr="00012573">
        <w:rPr>
          <w:rFonts w:ascii="Times New Roman" w:hAnsi="Times New Roman" w:cs="Times New Roman"/>
          <w:sz w:val="28"/>
          <w:szCs w:val="28"/>
        </w:rPr>
        <w:t xml:space="preserve">от </w:t>
      </w:r>
      <w:r w:rsidR="002A0B2C">
        <w:rPr>
          <w:rFonts w:ascii="Times New Roman" w:hAnsi="Times New Roman" w:cs="Times New Roman"/>
          <w:sz w:val="28"/>
          <w:szCs w:val="28"/>
        </w:rPr>
        <w:t xml:space="preserve"> </w:t>
      </w:r>
      <w:r w:rsidR="006611B6">
        <w:rPr>
          <w:rFonts w:ascii="Times New Roman" w:hAnsi="Times New Roman" w:cs="Times New Roman"/>
          <w:sz w:val="28"/>
          <w:szCs w:val="28"/>
        </w:rPr>
        <w:t>«14» июня 2024 г. №</w:t>
      </w:r>
      <w:r w:rsidR="00E70D72">
        <w:rPr>
          <w:rFonts w:ascii="Times New Roman" w:hAnsi="Times New Roman" w:cs="Times New Roman"/>
          <w:sz w:val="28"/>
          <w:szCs w:val="28"/>
        </w:rPr>
        <w:t>102</w:t>
      </w:r>
    </w:p>
    <w:p w:rsidR="0061512A" w:rsidRPr="001A51F3" w:rsidRDefault="0061512A" w:rsidP="0061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12A" w:rsidRPr="001A51F3" w:rsidRDefault="0061512A" w:rsidP="0061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12A" w:rsidRDefault="0061512A" w:rsidP="00615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1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51F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A0B2C" w:rsidRDefault="00B061EE" w:rsidP="002A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0D7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5B4D">
        <w:rPr>
          <w:rFonts w:ascii="Times New Roman" w:hAnsi="Times New Roman" w:cs="Times New Roman"/>
          <w:sz w:val="28"/>
          <w:szCs w:val="28"/>
        </w:rPr>
        <w:t xml:space="preserve"> </w:t>
      </w:r>
      <w:r w:rsidR="00E70D72">
        <w:rPr>
          <w:rFonts w:ascii="Times New Roman" w:hAnsi="Times New Roman" w:cs="Times New Roman"/>
          <w:sz w:val="28"/>
          <w:szCs w:val="28"/>
        </w:rPr>
        <w:t xml:space="preserve">июня </w:t>
      </w:r>
      <w:r w:rsidR="002A0B2C" w:rsidRPr="002B489D">
        <w:rPr>
          <w:rFonts w:ascii="Times New Roman" w:hAnsi="Times New Roman" w:cs="Times New Roman"/>
          <w:sz w:val="28"/>
          <w:szCs w:val="28"/>
        </w:rPr>
        <w:t>20</w:t>
      </w:r>
      <w:r w:rsidR="0001179C">
        <w:rPr>
          <w:rFonts w:ascii="Times New Roman" w:hAnsi="Times New Roman" w:cs="Times New Roman"/>
          <w:sz w:val="28"/>
          <w:szCs w:val="28"/>
        </w:rPr>
        <w:t>24</w:t>
      </w:r>
      <w:r w:rsidR="002A0B2C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E70D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0B2C">
        <w:rPr>
          <w:rFonts w:ascii="Times New Roman" w:hAnsi="Times New Roman" w:cs="Times New Roman"/>
          <w:sz w:val="28"/>
          <w:szCs w:val="28"/>
        </w:rPr>
        <w:t xml:space="preserve"> </w:t>
      </w:r>
      <w:r w:rsidR="002A0B2C" w:rsidRPr="0001257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2A0B2C" w:rsidRPr="00012573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 w:rsidR="002A0B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179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A0B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0B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0B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102-Р</w:t>
      </w:r>
      <w:r w:rsidR="002A0B2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512A" w:rsidRPr="001A51F3" w:rsidRDefault="0061512A" w:rsidP="0061512A">
      <w:pPr>
        <w:rPr>
          <w:rFonts w:ascii="Times New Roman" w:hAnsi="Times New Roman" w:cs="Times New Roman"/>
          <w:b/>
          <w:sz w:val="28"/>
          <w:szCs w:val="28"/>
        </w:rPr>
      </w:pPr>
    </w:p>
    <w:p w:rsidR="0061512A" w:rsidRPr="0095742A" w:rsidRDefault="0061512A" w:rsidP="0061512A">
      <w:pPr>
        <w:spacing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95742A">
        <w:rPr>
          <w:b/>
          <w:sz w:val="28"/>
          <w:szCs w:val="28"/>
        </w:rPr>
        <w:t>«</w:t>
      </w:r>
      <w:r w:rsidRPr="0095742A">
        <w:rPr>
          <w:rFonts w:ascii="Times New Roman" w:hAnsi="Times New Roman"/>
          <w:b/>
          <w:bCs/>
          <w:spacing w:val="-11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>«</w:t>
      </w:r>
      <w:r w:rsidRPr="0095742A">
        <w:rPr>
          <w:rFonts w:ascii="Times New Roman" w:hAnsi="Times New Roman"/>
          <w:b/>
          <w:sz w:val="28"/>
          <w:szCs w:val="28"/>
        </w:rPr>
        <w:t>Правила землепользования и застройки Партизанского городского округа</w:t>
      </w:r>
      <w:r>
        <w:rPr>
          <w:rFonts w:ascii="Times New Roman" w:hAnsi="Times New Roman"/>
          <w:b/>
          <w:sz w:val="28"/>
          <w:szCs w:val="28"/>
        </w:rPr>
        <w:t>»</w:t>
      </w:r>
      <w:r w:rsidRPr="00474A5C">
        <w:rPr>
          <w:rFonts w:ascii="Times New Roman" w:hAnsi="Times New Roman" w:cs="Times New Roman"/>
          <w:b/>
          <w:sz w:val="28"/>
          <w:szCs w:val="28"/>
        </w:rPr>
        <w:t>»</w:t>
      </w:r>
    </w:p>
    <w:p w:rsidR="0061512A" w:rsidRPr="00B22558" w:rsidRDefault="0061512A" w:rsidP="006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F3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2A" w:rsidRPr="00474A5C" w:rsidRDefault="0061512A" w:rsidP="008A12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«</w:t>
      </w:r>
      <w:r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Партизанского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Думы Партизанского городского </w:t>
      </w:r>
      <w:r w:rsidRPr="003C50A7">
        <w:rPr>
          <w:rFonts w:ascii="Times New Roman" w:eastAsia="Calibri" w:hAnsi="Times New Roman" w:cs="Times New Roman"/>
          <w:sz w:val="28"/>
          <w:szCs w:val="28"/>
        </w:rPr>
        <w:t>округа от 30 сентября 2011 года № 369 «Об утверждении Правил землепользования и застройки Партизанского городского округа»</w:t>
      </w:r>
      <w:r w:rsidRPr="003C50A7">
        <w:rPr>
          <w:rFonts w:ascii="Times New Roman" w:hAnsi="Times New Roman" w:cs="Times New Roman"/>
          <w:sz w:val="28"/>
          <w:szCs w:val="28"/>
        </w:rPr>
        <w:t xml:space="preserve"> (в ред. Решений Думы Партизанского городского округа от 26 июля 2013 г. № 530, от 26 сентября 2014 г. № 109, от 31 июля 2015 г. № 185, от 15 декабря 2015 г</w:t>
      </w:r>
      <w:proofErr w:type="gramEnd"/>
      <w:r w:rsidRPr="003C50A7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3C50A7">
        <w:rPr>
          <w:rFonts w:ascii="Times New Roman" w:hAnsi="Times New Roman" w:cs="Times New Roman"/>
          <w:sz w:val="28"/>
          <w:szCs w:val="28"/>
        </w:rPr>
        <w:t xml:space="preserve">230,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50A7">
        <w:rPr>
          <w:rFonts w:ascii="Times New Roman" w:hAnsi="Times New Roman" w:cs="Times New Roman"/>
          <w:sz w:val="28"/>
          <w:szCs w:val="28"/>
        </w:rPr>
        <w:t xml:space="preserve">28 декабря 2015 г. № 243, от 30 июня 2016 г. № 290, от 29 сентября 2016 г.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50A7">
        <w:rPr>
          <w:rFonts w:ascii="Times New Roman" w:hAnsi="Times New Roman" w:cs="Times New Roman"/>
          <w:sz w:val="28"/>
          <w:szCs w:val="28"/>
        </w:rPr>
        <w:t>№ 323, от 28 июля 2017 г. № 422, от 30 марта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0A7">
        <w:rPr>
          <w:rFonts w:ascii="Times New Roman" w:hAnsi="Times New Roman" w:cs="Times New Roman"/>
          <w:sz w:val="28"/>
          <w:szCs w:val="28"/>
        </w:rPr>
        <w:t xml:space="preserve"> № 499</w:t>
      </w:r>
      <w:r>
        <w:rPr>
          <w:rFonts w:ascii="Times New Roman" w:hAnsi="Times New Roman" w:cs="Times New Roman"/>
          <w:sz w:val="28"/>
          <w:szCs w:val="28"/>
        </w:rPr>
        <w:t xml:space="preserve">, от 14 июня 2019 г. № 105, </w:t>
      </w:r>
      <w:r>
        <w:rPr>
          <w:rFonts w:ascii="Times New Roman" w:hAnsi="Times New Roman"/>
          <w:sz w:val="28"/>
          <w:szCs w:val="28"/>
        </w:rPr>
        <w:t>от 19 сентября 2019 г. № 134; от 03 февраля 2021 г. № 215;                              от 03 февраля 2021 г. № 218;</w:t>
      </w:r>
      <w:proofErr w:type="gramEnd"/>
      <w:r>
        <w:rPr>
          <w:rFonts w:ascii="Times New Roman" w:hAnsi="Times New Roman"/>
          <w:sz w:val="28"/>
          <w:szCs w:val="28"/>
        </w:rPr>
        <w:t xml:space="preserve"> от 26 марта 2021 г. № 234</w:t>
      </w:r>
      <w:r w:rsidRPr="003C50A7">
        <w:rPr>
          <w:rFonts w:ascii="Times New Roman" w:hAnsi="Times New Roman" w:cs="Times New Roman"/>
          <w:sz w:val="28"/>
          <w:szCs w:val="28"/>
        </w:rPr>
        <w:t>,</w:t>
      </w:r>
      <w:r w:rsidRPr="00247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 октября 2021 г. № 302, от 14 июля 2022 г. № 367, от 09 сентября 2022 г. № 371</w:t>
      </w:r>
      <w:r w:rsidR="008A12FA">
        <w:rPr>
          <w:rFonts w:ascii="Times New Roman" w:hAnsi="Times New Roman"/>
          <w:sz w:val="28"/>
          <w:szCs w:val="28"/>
        </w:rPr>
        <w:t>,</w:t>
      </w:r>
      <w:r w:rsidR="008A12FA" w:rsidRPr="008A12FA">
        <w:rPr>
          <w:rFonts w:ascii="Times New Roman" w:hAnsi="Times New Roman"/>
          <w:sz w:val="28"/>
          <w:szCs w:val="28"/>
        </w:rPr>
        <w:t xml:space="preserve"> </w:t>
      </w:r>
      <w:r w:rsidR="008A12FA">
        <w:rPr>
          <w:rFonts w:ascii="Times New Roman" w:hAnsi="Times New Roman"/>
          <w:sz w:val="28"/>
          <w:szCs w:val="28"/>
        </w:rPr>
        <w:t>от 27 октября 2023 года № 14; от 26.01.2024 года № 76, от 26 февраля 2024 года № 81</w:t>
      </w:r>
      <w:r>
        <w:rPr>
          <w:rFonts w:ascii="Times New Roman" w:hAnsi="Times New Roman"/>
          <w:sz w:val="28"/>
          <w:szCs w:val="28"/>
        </w:rPr>
        <w:t>),</w:t>
      </w:r>
      <w:r w:rsidRPr="003C50A7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A51B4" w:rsidRDefault="00BA51B4" w:rsidP="00BA5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51B4" w:rsidRPr="00241923" w:rsidRDefault="00BA51B4" w:rsidP="00BA5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На Карте градостроительного зонирования, приложение 2 к              статье 55 главы 14, изменить границы территориальных зон СХ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(реестровый номер 25:33-7.42) и К2 (реестровый номер 25:33-7.70), установленных для населенного пункта, входящего в состав Партизанского городского округа - село Казанка (схема изменения границ между территориальными зонами и планы границ объектов прилагаются).</w:t>
      </w:r>
    </w:p>
    <w:p w:rsidR="00BA51B4" w:rsidRDefault="00BA51B4" w:rsidP="00BA5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C6F1A"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Pr="00AC6F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6F1A">
        <w:rPr>
          <w:rFonts w:ascii="Times New Roman" w:hAnsi="Times New Roman" w:cs="Times New Roman"/>
          <w:sz w:val="28"/>
          <w:szCs w:val="28"/>
        </w:rPr>
        <w:t>:</w:t>
      </w:r>
    </w:p>
    <w:p w:rsidR="00BA51B4" w:rsidRDefault="00BA51B4" w:rsidP="00BA51B4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C70335">
        <w:rPr>
          <w:b w:val="0"/>
          <w:i w:val="0"/>
          <w:szCs w:val="28"/>
        </w:rPr>
        <w:t xml:space="preserve">.1. </w:t>
      </w:r>
      <w:r>
        <w:rPr>
          <w:b w:val="0"/>
          <w:i w:val="0"/>
          <w:szCs w:val="28"/>
        </w:rPr>
        <w:t xml:space="preserve"> В пункте 4</w:t>
      </w:r>
      <w:r w:rsidRPr="00C70335">
        <w:rPr>
          <w:b w:val="0"/>
          <w:i w:val="0"/>
          <w:szCs w:val="28"/>
        </w:rPr>
        <w:t xml:space="preserve"> статьи 62 главы 16 </w:t>
      </w:r>
      <w:r w:rsidRPr="00D349DE">
        <w:rPr>
          <w:b w:val="0"/>
          <w:i w:val="0"/>
          <w:szCs w:val="28"/>
        </w:rPr>
        <w:t>в разделе</w:t>
      </w:r>
      <w:bookmarkStart w:id="0" w:name="_Toc26431787"/>
      <w:r w:rsidRPr="00D349DE">
        <w:rPr>
          <w:b w:val="0"/>
          <w:i w:val="0"/>
          <w:szCs w:val="28"/>
        </w:rPr>
        <w:t xml:space="preserve">  «</w:t>
      </w:r>
      <w:bookmarkStart w:id="1" w:name="_Toc26431800"/>
      <w:bookmarkEnd w:id="0"/>
      <w:proofErr w:type="gramStart"/>
      <w:r w:rsidRPr="00D349DE">
        <w:rPr>
          <w:b w:val="0"/>
          <w:i w:val="0"/>
          <w:szCs w:val="28"/>
        </w:rPr>
        <w:t>П</w:t>
      </w:r>
      <w:proofErr w:type="gramEnd"/>
      <w:r w:rsidRPr="00D349DE">
        <w:rPr>
          <w:b w:val="0"/>
          <w:i w:val="0"/>
          <w:szCs w:val="28"/>
        </w:rPr>
        <w:t xml:space="preserve"> 1. Зона производственно-коммунальных объектов </w:t>
      </w:r>
      <w:r w:rsidRPr="00D349DE">
        <w:rPr>
          <w:b w:val="0"/>
          <w:i w:val="0"/>
          <w:szCs w:val="28"/>
          <w:lang w:val="en-US"/>
        </w:rPr>
        <w:t>I</w:t>
      </w:r>
      <w:r w:rsidRPr="00D349DE">
        <w:rPr>
          <w:b w:val="0"/>
          <w:i w:val="0"/>
          <w:szCs w:val="28"/>
        </w:rPr>
        <w:t>-</w:t>
      </w:r>
      <w:r w:rsidRPr="00D349DE">
        <w:rPr>
          <w:b w:val="0"/>
          <w:i w:val="0"/>
          <w:szCs w:val="28"/>
          <w:lang w:val="en-US"/>
        </w:rPr>
        <w:t>V</w:t>
      </w:r>
      <w:r w:rsidRPr="00D349DE">
        <w:rPr>
          <w:b w:val="0"/>
          <w:i w:val="0"/>
          <w:szCs w:val="28"/>
        </w:rPr>
        <w:t xml:space="preserve"> классов вредности</w:t>
      </w:r>
      <w:bookmarkEnd w:id="1"/>
      <w:r w:rsidRPr="00D349DE">
        <w:rPr>
          <w:b w:val="0"/>
          <w:i w:val="0"/>
          <w:szCs w:val="28"/>
        </w:rPr>
        <w:t xml:space="preserve"> »:</w:t>
      </w:r>
    </w:p>
    <w:p w:rsidR="00BA51B4" w:rsidRPr="00A060D4" w:rsidRDefault="00BA51B4" w:rsidP="00BA51B4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2.1.1</w:t>
      </w:r>
      <w:r w:rsidRPr="000744AE">
        <w:rPr>
          <w:b w:val="0"/>
          <w:i w:val="0"/>
          <w:szCs w:val="28"/>
        </w:rPr>
        <w:t xml:space="preserve">. </w:t>
      </w:r>
      <w:r>
        <w:rPr>
          <w:b w:val="0"/>
          <w:i w:val="0"/>
          <w:szCs w:val="28"/>
        </w:rPr>
        <w:t>в</w:t>
      </w:r>
      <w:r w:rsidRPr="000744AE">
        <w:rPr>
          <w:b w:val="0"/>
          <w:i w:val="0"/>
          <w:szCs w:val="28"/>
        </w:rPr>
        <w:t xml:space="preserve"> перечень основных видов разрешенного использования включить вид разрешенного </w:t>
      </w:r>
      <w:r>
        <w:rPr>
          <w:b w:val="0"/>
          <w:i w:val="0"/>
          <w:szCs w:val="28"/>
        </w:rPr>
        <w:t>использования «спорт» (код 5.1):</w:t>
      </w:r>
    </w:p>
    <w:tbl>
      <w:tblPr>
        <w:tblW w:w="9888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2339"/>
        <w:gridCol w:w="3827"/>
        <w:gridCol w:w="1772"/>
        <w:gridCol w:w="496"/>
        <w:gridCol w:w="549"/>
      </w:tblGrid>
      <w:tr w:rsidR="00BA51B4" w:rsidRPr="00E00830" w:rsidTr="00BA51B4">
        <w:trPr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B4" w:rsidRPr="00B65C90" w:rsidRDefault="00BA51B4" w:rsidP="00BA51B4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C9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B4" w:rsidRDefault="00BA51B4" w:rsidP="00BA51B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</w:p>
          <w:p w:rsidR="00BA51B4" w:rsidRPr="0010150B" w:rsidRDefault="00BA51B4" w:rsidP="00BA51B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511" w:history="1">
              <w:r w:rsidRPr="0010150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5.1.1 - 5.1.7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участков: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м;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-200 м;</w:t>
            </w:r>
          </w:p>
          <w:p w:rsidR="00BA51B4" w:rsidRPr="0010150B" w:rsidRDefault="00BA51B4" w:rsidP="00BA51B4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установлению.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 – 0м;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(со стороны красных линий) – 0м;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– 3;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 – 50, </w:t>
            </w:r>
          </w:p>
          <w:p w:rsidR="00BA51B4" w:rsidRPr="0010150B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50B">
              <w:rPr>
                <w:rFonts w:ascii="Times New Roman" w:hAnsi="Times New Roman" w:cs="Times New Roman"/>
                <w:sz w:val="20"/>
                <w:szCs w:val="20"/>
              </w:rPr>
              <w:t>для плоскостных сооружений – 100;</w:t>
            </w:r>
          </w:p>
          <w:p w:rsidR="00BA51B4" w:rsidRPr="002F3E66" w:rsidRDefault="00BA51B4" w:rsidP="00BA51B4">
            <w:pPr>
              <w:pStyle w:val="ConsPlusNormal"/>
              <w:ind w:right="33" w:firstLine="175"/>
              <w:jc w:val="both"/>
              <w:rPr>
                <w:rFonts w:ascii="Times New Roman" w:hAnsi="Times New Roman" w:cs="Times New Roman"/>
              </w:rPr>
            </w:pPr>
            <w:r w:rsidRPr="0010150B">
              <w:rPr>
                <w:rFonts w:ascii="Times New Roman" w:hAnsi="Times New Roman" w:cs="Times New Roman"/>
              </w:rPr>
              <w:t>Минимальный процент озеленения -25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Pr="00FA2040" w:rsidRDefault="00BA51B4" w:rsidP="00DD7B9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2040">
              <w:rPr>
                <w:rFonts w:ascii="Times New Roman" w:hAnsi="Times New Roman" w:cs="Times New Roman"/>
              </w:rPr>
              <w:t xml:space="preserve">не допускается размещать спортивные сооружения в санитарно-защитных зонах, установленных в предусмотренном действующим </w:t>
            </w:r>
            <w:proofErr w:type="spellStart"/>
            <w:r w:rsidRPr="00FA2040">
              <w:rPr>
                <w:rFonts w:ascii="Times New Roman" w:hAnsi="Times New Roman" w:cs="Times New Roman"/>
              </w:rPr>
              <w:t>законодательст</w:t>
            </w:r>
            <w:r>
              <w:rPr>
                <w:rFonts w:ascii="Times New Roman" w:hAnsi="Times New Roman" w:cs="Times New Roman"/>
              </w:rPr>
              <w:t>-</w:t>
            </w:r>
            <w:r w:rsidRPr="00FA2040">
              <w:rPr>
                <w:rFonts w:ascii="Times New Roman" w:hAnsi="Times New Roman" w:cs="Times New Roman"/>
              </w:rPr>
              <w:t>вом</w:t>
            </w:r>
            <w:proofErr w:type="spellEnd"/>
            <w:r w:rsidRPr="00FA2040">
              <w:rPr>
                <w:rFonts w:ascii="Times New Roman" w:hAnsi="Times New Roman" w:cs="Times New Roman"/>
              </w:rPr>
              <w:t xml:space="preserve"> порядке.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1B4" w:rsidRPr="00E00830" w:rsidRDefault="00BA51B4" w:rsidP="00BA51B4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Pr="00E00830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Pr="0097614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Pr="00644337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1B4" w:rsidRDefault="00BA51B4" w:rsidP="00BA5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1B4" w:rsidRPr="00644337" w:rsidRDefault="00BA51B4" w:rsidP="00B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4433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BA51B4" w:rsidRPr="00990DBF" w:rsidRDefault="00BA51B4" w:rsidP="00BA51B4">
      <w:pPr>
        <w:spacing w:after="0"/>
      </w:pPr>
    </w:p>
    <w:p w:rsidR="00BA51B4" w:rsidRDefault="00BA51B4" w:rsidP="00BA51B4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2.2</w:t>
      </w:r>
      <w:r w:rsidRPr="00C70335">
        <w:rPr>
          <w:b w:val="0"/>
          <w:i w:val="0"/>
          <w:szCs w:val="28"/>
        </w:rPr>
        <w:t xml:space="preserve">. </w:t>
      </w:r>
      <w:r>
        <w:rPr>
          <w:b w:val="0"/>
          <w:i w:val="0"/>
          <w:szCs w:val="28"/>
        </w:rPr>
        <w:t xml:space="preserve"> В пункте 7</w:t>
      </w:r>
      <w:r w:rsidRPr="00C70335">
        <w:rPr>
          <w:b w:val="0"/>
          <w:i w:val="0"/>
          <w:szCs w:val="28"/>
        </w:rPr>
        <w:t xml:space="preserve"> статьи 62 главы 16 </w:t>
      </w:r>
      <w:r w:rsidRPr="00D349DE">
        <w:rPr>
          <w:b w:val="0"/>
          <w:i w:val="0"/>
          <w:szCs w:val="28"/>
        </w:rPr>
        <w:t xml:space="preserve">в </w:t>
      </w:r>
      <w:r w:rsidRPr="00D82B70">
        <w:rPr>
          <w:b w:val="0"/>
          <w:i w:val="0"/>
          <w:szCs w:val="28"/>
        </w:rPr>
        <w:t>разделах  «</w:t>
      </w:r>
      <w:bookmarkStart w:id="2" w:name="_Toc26431814"/>
      <w:proofErr w:type="gramStart"/>
      <w:r w:rsidRPr="00D82B70">
        <w:rPr>
          <w:b w:val="0"/>
          <w:i w:val="0"/>
        </w:rPr>
        <w:t>Р</w:t>
      </w:r>
      <w:proofErr w:type="gramEnd"/>
      <w:r w:rsidRPr="00D82B70">
        <w:rPr>
          <w:b w:val="0"/>
          <w:i w:val="0"/>
        </w:rPr>
        <w:t xml:space="preserve"> 5. Зона рекреационно-ландшафтных территорий</w:t>
      </w:r>
      <w:bookmarkEnd w:id="2"/>
      <w:r w:rsidRPr="00D82B70">
        <w:rPr>
          <w:b w:val="0"/>
          <w:i w:val="0"/>
          <w:szCs w:val="28"/>
        </w:rPr>
        <w:t xml:space="preserve">» и  </w:t>
      </w:r>
      <w:bookmarkStart w:id="3" w:name="_Toc26431816"/>
      <w:r w:rsidRPr="00D82B70">
        <w:rPr>
          <w:b w:val="0"/>
          <w:i w:val="0"/>
          <w:szCs w:val="28"/>
        </w:rPr>
        <w:t>«</w:t>
      </w:r>
      <w:proofErr w:type="gramStart"/>
      <w:r w:rsidRPr="00D82B70">
        <w:rPr>
          <w:b w:val="0"/>
          <w:i w:val="0"/>
          <w:szCs w:val="28"/>
        </w:rPr>
        <w:t>Р</w:t>
      </w:r>
      <w:proofErr w:type="gramEnd"/>
      <w:r w:rsidRPr="00D82B70">
        <w:rPr>
          <w:b w:val="0"/>
          <w:i w:val="0"/>
          <w:szCs w:val="28"/>
        </w:rPr>
        <w:t xml:space="preserve"> 7. Зона рекреационного строительства</w:t>
      </w:r>
      <w:bookmarkEnd w:id="3"/>
      <w:r w:rsidRPr="00D82B70">
        <w:rPr>
          <w:b w:val="0"/>
          <w:i w:val="0"/>
          <w:szCs w:val="28"/>
        </w:rPr>
        <w:t>»</w:t>
      </w:r>
      <w:r>
        <w:rPr>
          <w:b w:val="0"/>
          <w:i w:val="0"/>
          <w:szCs w:val="28"/>
        </w:rPr>
        <w:t>:</w:t>
      </w:r>
    </w:p>
    <w:p w:rsidR="00BA51B4" w:rsidRDefault="00BA51B4" w:rsidP="00BA51B4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2.2.1. из перечней условно разрешенных видов использования исключить вид разрешенного использования «спорт» (код 5.1);</w:t>
      </w:r>
    </w:p>
    <w:p w:rsidR="00BA51B4" w:rsidRPr="00D82B70" w:rsidRDefault="00BA51B4" w:rsidP="00BA51B4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2.2</w:t>
      </w:r>
      <w:r w:rsidRPr="000744AE">
        <w:rPr>
          <w:b w:val="0"/>
          <w:i w:val="0"/>
          <w:szCs w:val="28"/>
        </w:rPr>
        <w:t xml:space="preserve">.2. </w:t>
      </w:r>
      <w:r w:rsidRPr="00E00830">
        <w:rPr>
          <w:b w:val="0"/>
          <w:i w:val="0"/>
          <w:szCs w:val="28"/>
        </w:rPr>
        <w:t>таблицу</w:t>
      </w:r>
      <w:r w:rsidRPr="00E00830">
        <w:rPr>
          <w:i w:val="0"/>
          <w:szCs w:val="28"/>
        </w:rPr>
        <w:t xml:space="preserve"> </w:t>
      </w:r>
      <w:r w:rsidRPr="00E00830">
        <w:rPr>
          <w:b w:val="0"/>
          <w:i w:val="0"/>
          <w:szCs w:val="28"/>
        </w:rPr>
        <w:t>«Основные виды разрешенного использования</w:t>
      </w:r>
      <w:r w:rsidRPr="00E00830">
        <w:rPr>
          <w:b w:val="0"/>
          <w:i w:val="0"/>
        </w:rPr>
        <w:t xml:space="preserve">» </w:t>
      </w:r>
      <w:r w:rsidRPr="00E00830">
        <w:rPr>
          <w:b w:val="0"/>
          <w:i w:val="0"/>
          <w:szCs w:val="28"/>
        </w:rPr>
        <w:t>дополнить строкой:</w:t>
      </w:r>
    </w:p>
    <w:tbl>
      <w:tblPr>
        <w:tblW w:w="9888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2339"/>
        <w:gridCol w:w="3827"/>
        <w:gridCol w:w="1772"/>
        <w:gridCol w:w="496"/>
        <w:gridCol w:w="549"/>
      </w:tblGrid>
      <w:tr w:rsidR="00BA51B4" w:rsidRPr="00E00830" w:rsidTr="00BA51B4">
        <w:trPr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B4" w:rsidRPr="00B65C90" w:rsidRDefault="00BA51B4" w:rsidP="00BA51B4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C9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B4" w:rsidRPr="00644337" w:rsidRDefault="00BA51B4" w:rsidP="00BA51B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644337">
              <w:rPr>
                <w:rFonts w:ascii="Times New Roman" w:hAnsi="Times New Roman" w:cs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</w:t>
            </w:r>
            <w:r w:rsidRPr="00DD7B9D">
              <w:rPr>
                <w:rFonts w:ascii="Times New Roman" w:hAnsi="Times New Roman" w:cs="Times New Roman"/>
              </w:rPr>
              <w:t xml:space="preserve">шенного использования с </w:t>
            </w:r>
            <w:hyperlink w:anchor="sub_1511" w:history="1">
              <w:r w:rsidRPr="00DD7B9D">
                <w:rPr>
                  <w:rStyle w:val="a8"/>
                  <w:rFonts w:ascii="Times New Roman" w:hAnsi="Times New Roman" w:cs="Times New Roman"/>
                  <w:color w:val="auto"/>
                </w:rPr>
                <w:t>кодами 5.1.1 - 5.1.7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-200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1B4" w:rsidRPr="002F3E66" w:rsidRDefault="00BA51B4" w:rsidP="00BA51B4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параметры разрешенного строительства, реконструкции объектов </w:t>
            </w: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капитального строительства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(со стороны красных линий)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 – 50, </w:t>
            </w:r>
          </w:p>
          <w:p w:rsidR="00BA51B4" w:rsidRPr="002F3E66" w:rsidRDefault="00BA51B4" w:rsidP="00BA51B4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для плоскостных сооружений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1B4" w:rsidRPr="002F3E66" w:rsidRDefault="00BA51B4" w:rsidP="00BA51B4">
            <w:pPr>
              <w:pStyle w:val="ConsPlusNormal"/>
              <w:ind w:right="33" w:firstLine="175"/>
              <w:jc w:val="both"/>
              <w:rPr>
                <w:rFonts w:ascii="Times New Roman" w:hAnsi="Times New Roman" w:cs="Times New Roman"/>
              </w:rPr>
            </w:pPr>
            <w:r w:rsidRPr="002F3E66">
              <w:rPr>
                <w:rFonts w:ascii="Times New Roman" w:hAnsi="Times New Roman" w:cs="Times New Roman"/>
              </w:rPr>
              <w:t>Минимальный процент озеленения -25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A51B4" w:rsidRPr="00FA2040" w:rsidRDefault="00BA51B4" w:rsidP="00BA5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2040">
              <w:rPr>
                <w:rFonts w:ascii="Times New Roman" w:hAnsi="Times New Roman" w:cs="Times New Roman"/>
              </w:rPr>
              <w:t xml:space="preserve">не допускается размещать спортивные сооружения в санитарно-защитных зонах, установленных в </w:t>
            </w:r>
            <w:r w:rsidRPr="00FA2040">
              <w:rPr>
                <w:rFonts w:ascii="Times New Roman" w:hAnsi="Times New Roman" w:cs="Times New Roman"/>
              </w:rPr>
              <w:lastRenderedPageBreak/>
              <w:t xml:space="preserve">предусмотренном действующим </w:t>
            </w:r>
            <w:proofErr w:type="spellStart"/>
            <w:r w:rsidRPr="00FA2040">
              <w:rPr>
                <w:rFonts w:ascii="Times New Roman" w:hAnsi="Times New Roman" w:cs="Times New Roman"/>
              </w:rPr>
              <w:t>законодательст</w:t>
            </w:r>
            <w:r>
              <w:rPr>
                <w:rFonts w:ascii="Times New Roman" w:hAnsi="Times New Roman" w:cs="Times New Roman"/>
              </w:rPr>
              <w:t>-</w:t>
            </w:r>
            <w:r w:rsidRPr="00FA2040">
              <w:rPr>
                <w:rFonts w:ascii="Times New Roman" w:hAnsi="Times New Roman" w:cs="Times New Roman"/>
              </w:rPr>
              <w:t>вом</w:t>
            </w:r>
            <w:proofErr w:type="spellEnd"/>
            <w:r w:rsidRPr="00FA2040">
              <w:rPr>
                <w:rFonts w:ascii="Times New Roman" w:hAnsi="Times New Roman" w:cs="Times New Roman"/>
              </w:rPr>
              <w:t xml:space="preserve"> порядке.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1B4" w:rsidRPr="00E00830" w:rsidRDefault="00BA51B4" w:rsidP="00BA51B4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Pr="00E00830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Default="00BA51B4" w:rsidP="00BA51B4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Pr="0097614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A51B4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4" w:rsidRPr="00644337" w:rsidRDefault="00BA51B4" w:rsidP="00BA5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1B4" w:rsidRDefault="00BA51B4" w:rsidP="00BA5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1B4" w:rsidRDefault="002D4D59" w:rsidP="00BA5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</w:t>
            </w:r>
          </w:p>
          <w:p w:rsidR="002D4D59" w:rsidRPr="00644337" w:rsidRDefault="002D4D59" w:rsidP="00B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</w:t>
            </w:r>
          </w:p>
        </w:tc>
      </w:tr>
    </w:tbl>
    <w:p w:rsidR="00DD7B9D" w:rsidRDefault="00DD7B9D" w:rsidP="0096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4198" w:rsidRPr="00A534BF" w:rsidRDefault="00884198" w:rsidP="0096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34BF">
        <w:rPr>
          <w:rFonts w:ascii="Times New Roman" w:hAnsi="Times New Roman"/>
          <w:b/>
          <w:sz w:val="28"/>
          <w:szCs w:val="28"/>
        </w:rPr>
        <w:t>Статья 2</w:t>
      </w:r>
    </w:p>
    <w:p w:rsidR="00884198" w:rsidRPr="00A534BF" w:rsidRDefault="00884198" w:rsidP="00A5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4BF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«Вести» и вступает в силу после официального  опубликования (обнародования).</w:t>
      </w:r>
    </w:p>
    <w:p w:rsidR="00884198" w:rsidRPr="00A534BF" w:rsidRDefault="00884198" w:rsidP="0088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1E7" w:rsidRDefault="00A221E7" w:rsidP="0088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4BF" w:rsidRPr="00A534BF" w:rsidRDefault="00A221E7" w:rsidP="0088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84198" w:rsidRPr="00A534B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A534BF" w:rsidRPr="00A534B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534BF" w:rsidRPr="00A53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</w:p>
    <w:p w:rsidR="00884198" w:rsidRPr="00A534BF" w:rsidRDefault="00A534BF" w:rsidP="0088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4BF">
        <w:rPr>
          <w:rFonts w:ascii="Times New Roman" w:hAnsi="Times New Roman"/>
          <w:sz w:val="28"/>
          <w:szCs w:val="28"/>
        </w:rPr>
        <w:t xml:space="preserve">          </w:t>
      </w:r>
      <w:r w:rsidR="00884198" w:rsidRPr="00A534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884198" w:rsidRDefault="00884198" w:rsidP="00A534BF">
      <w:pPr>
        <w:autoSpaceDE w:val="0"/>
        <w:autoSpaceDN w:val="0"/>
        <w:adjustRightInd w:val="0"/>
        <w:spacing w:after="0" w:line="360" w:lineRule="auto"/>
        <w:jc w:val="both"/>
      </w:pPr>
    </w:p>
    <w:sectPr w:rsidR="00884198" w:rsidSect="00884198">
      <w:headerReference w:type="default" r:id="rId7"/>
      <w:pgSz w:w="11906" w:h="16838"/>
      <w:pgMar w:top="8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72" w:rsidRDefault="00E70D72" w:rsidP="00E441FE">
      <w:pPr>
        <w:spacing w:after="0" w:line="240" w:lineRule="auto"/>
      </w:pPr>
      <w:r>
        <w:separator/>
      </w:r>
    </w:p>
  </w:endnote>
  <w:endnote w:type="continuationSeparator" w:id="0">
    <w:p w:rsidR="00E70D72" w:rsidRDefault="00E70D72" w:rsidP="00E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72" w:rsidRDefault="00E70D72" w:rsidP="00E441FE">
      <w:pPr>
        <w:spacing w:after="0" w:line="240" w:lineRule="auto"/>
      </w:pPr>
      <w:r>
        <w:separator/>
      </w:r>
    </w:p>
  </w:footnote>
  <w:footnote w:type="continuationSeparator" w:id="0">
    <w:p w:rsidR="00E70D72" w:rsidRDefault="00E70D72" w:rsidP="00E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72" w:rsidRDefault="00E70D72">
    <w:pPr>
      <w:pStyle w:val="a4"/>
      <w:jc w:val="center"/>
    </w:pPr>
  </w:p>
  <w:p w:rsidR="00E70D72" w:rsidRDefault="00FA7757">
    <w:pPr>
      <w:pStyle w:val="a4"/>
      <w:jc w:val="center"/>
    </w:pPr>
    <w:fldSimple w:instr=" PAGE   \* MERGEFORMAT ">
      <w:r w:rsidR="002D4D59">
        <w:rPr>
          <w:noProof/>
        </w:rPr>
        <w:t>2</w:t>
      </w:r>
    </w:fldSimple>
  </w:p>
  <w:p w:rsidR="00E70D72" w:rsidRDefault="00E70D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12A"/>
    <w:rsid w:val="0001179C"/>
    <w:rsid w:val="000656A6"/>
    <w:rsid w:val="000B5B4D"/>
    <w:rsid w:val="0010150B"/>
    <w:rsid w:val="00115A34"/>
    <w:rsid w:val="002A0B2C"/>
    <w:rsid w:val="002D4D59"/>
    <w:rsid w:val="002E278B"/>
    <w:rsid w:val="00341312"/>
    <w:rsid w:val="003550B4"/>
    <w:rsid w:val="003D0463"/>
    <w:rsid w:val="004C3708"/>
    <w:rsid w:val="004E356C"/>
    <w:rsid w:val="0061512A"/>
    <w:rsid w:val="0063428C"/>
    <w:rsid w:val="006611B6"/>
    <w:rsid w:val="00745E08"/>
    <w:rsid w:val="007A7F19"/>
    <w:rsid w:val="008316B1"/>
    <w:rsid w:val="00884198"/>
    <w:rsid w:val="008A12FA"/>
    <w:rsid w:val="00965583"/>
    <w:rsid w:val="00A221E7"/>
    <w:rsid w:val="00A534BF"/>
    <w:rsid w:val="00AA6D62"/>
    <w:rsid w:val="00B061EE"/>
    <w:rsid w:val="00BA51B4"/>
    <w:rsid w:val="00BD1D05"/>
    <w:rsid w:val="00DD7B9D"/>
    <w:rsid w:val="00E425E4"/>
    <w:rsid w:val="00E441FE"/>
    <w:rsid w:val="00E70D72"/>
    <w:rsid w:val="00EA547D"/>
    <w:rsid w:val="00F63736"/>
    <w:rsid w:val="00FA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11">
    <w:name w:val="4 МГП 1.1.1"/>
    <w:basedOn w:val="a"/>
    <w:next w:val="a"/>
    <w:link w:val="41110"/>
    <w:uiPriority w:val="99"/>
    <w:qFormat/>
    <w:rsid w:val="0061512A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41110">
    <w:name w:val="4 МГП 1.1.1 Знак"/>
    <w:link w:val="4111"/>
    <w:uiPriority w:val="99"/>
    <w:locked/>
    <w:rsid w:val="0061512A"/>
    <w:rPr>
      <w:rFonts w:ascii="Times New Roman" w:eastAsia="Times New Roman" w:hAnsi="Times New Roman" w:cs="Times New Roman"/>
      <w:b/>
      <w:i/>
      <w:sz w:val="28"/>
    </w:rPr>
  </w:style>
  <w:style w:type="paragraph" w:customStyle="1" w:styleId="4">
    <w:name w:val="4"/>
    <w:aliases w:val="5 МГП 1.1.1.1"/>
    <w:basedOn w:val="a"/>
    <w:link w:val="40"/>
    <w:qFormat/>
    <w:rsid w:val="0061512A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61512A"/>
    <w:rPr>
      <w:rFonts w:ascii="Times New Roman" w:eastAsia="Times New Roman" w:hAnsi="Times New Roman" w:cs="Times New Roman"/>
      <w:b/>
      <w:sz w:val="28"/>
    </w:rPr>
  </w:style>
  <w:style w:type="paragraph" w:customStyle="1" w:styleId="a3">
    <w:name w:val="Центрированный (таблица)"/>
    <w:basedOn w:val="a"/>
    <w:next w:val="a"/>
    <w:uiPriority w:val="99"/>
    <w:rsid w:val="006151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5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51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unhideWhenUsed/>
    <w:rsid w:val="0061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61512A"/>
  </w:style>
  <w:style w:type="paragraph" w:customStyle="1" w:styleId="S">
    <w:name w:val="S_Обычный жирный"/>
    <w:basedOn w:val="a"/>
    <w:qFormat/>
    <w:rsid w:val="006151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uiPriority w:val="99"/>
    <w:rsid w:val="0061512A"/>
    <w:rPr>
      <w:rFonts w:cs="Times New Roman"/>
      <w:color w:val="0071DB"/>
      <w:u w:val="single"/>
    </w:rPr>
  </w:style>
  <w:style w:type="paragraph" w:styleId="41">
    <w:name w:val="toc 4"/>
    <w:basedOn w:val="a"/>
    <w:next w:val="a"/>
    <w:uiPriority w:val="39"/>
    <w:rsid w:val="0061512A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512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61512A"/>
    <w:rPr>
      <w:b w:val="0"/>
      <w:bCs w:val="0"/>
      <w:color w:val="106BBE"/>
    </w:rPr>
  </w:style>
  <w:style w:type="paragraph" w:styleId="a9">
    <w:name w:val="footer"/>
    <w:basedOn w:val="a"/>
    <w:link w:val="aa"/>
    <w:uiPriority w:val="99"/>
    <w:semiHidden/>
    <w:unhideWhenUsed/>
    <w:rsid w:val="00E4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4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2024-05-27T23:16:00Z</cp:lastPrinted>
  <dcterms:created xsi:type="dcterms:W3CDTF">2023-10-11T04:37:00Z</dcterms:created>
  <dcterms:modified xsi:type="dcterms:W3CDTF">2024-06-18T01:20:00Z</dcterms:modified>
</cp:coreProperties>
</file>